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B1" w:rsidRDefault="00B846B1" w:rsidP="004F4D9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846B1" w:rsidRDefault="00B846B1" w:rsidP="004F4D95">
      <w:pPr>
        <w:jc w:val="center"/>
        <w:rPr>
          <w:rFonts w:ascii="Arial" w:hAnsi="Arial" w:cs="Arial"/>
          <w:b/>
          <w:sz w:val="28"/>
          <w:szCs w:val="28"/>
        </w:rPr>
      </w:pPr>
    </w:p>
    <w:p w:rsidR="004F4D95" w:rsidRDefault="004F4D95" w:rsidP="004F4D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Risk Assessment</w:t>
      </w:r>
    </w:p>
    <w:p w:rsidR="00B846B1" w:rsidRDefault="00B846B1" w:rsidP="004F4D95">
      <w:pPr>
        <w:jc w:val="center"/>
        <w:rPr>
          <w:rFonts w:ascii="Arial" w:hAnsi="Arial" w:cs="Arial"/>
          <w:b/>
          <w:sz w:val="28"/>
          <w:szCs w:val="28"/>
        </w:rPr>
      </w:pPr>
    </w:p>
    <w:p w:rsidR="004F4D95" w:rsidRDefault="004F4D95" w:rsidP="004F4D95">
      <w:pPr>
        <w:jc w:val="center"/>
        <w:rPr>
          <w:rFonts w:ascii="Arial" w:hAnsi="Arial" w:cs="Arial"/>
          <w:sz w:val="8"/>
        </w:rPr>
      </w:pPr>
    </w:p>
    <w:tbl>
      <w:tblPr>
        <w:tblW w:w="151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79"/>
        <w:gridCol w:w="3509"/>
        <w:gridCol w:w="3835"/>
        <w:gridCol w:w="4375"/>
      </w:tblGrid>
      <w:tr w:rsidR="004F4D95" w:rsidTr="004F4D9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  <w:color w:val="800080"/>
              </w:rPr>
            </w:pPr>
            <w:r>
              <w:rPr>
                <w:rFonts w:ascii="Arial" w:hAnsi="Arial" w:cs="Arial"/>
                <w:b/>
                <w:color w:val="800080"/>
              </w:rPr>
              <w:t>A</w:t>
            </w:r>
            <w:r>
              <w:rPr>
                <w:rFonts w:ascii="Arial" w:hAnsi="Arial" w:cs="Arial"/>
                <w:b/>
                <w:color w:val="800080"/>
              </w:rPr>
              <w:tab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 w:rsidP="00FA3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 </w:t>
            </w:r>
            <w:r w:rsidR="00B846B1">
              <w:rPr>
                <w:rFonts w:ascii="Arial" w:hAnsi="Arial" w:cs="Arial"/>
              </w:rPr>
              <w:t>0</w:t>
            </w:r>
            <w:r w:rsidR="00FA3A97">
              <w:rPr>
                <w:rFonts w:ascii="Arial" w:hAnsi="Arial" w:cs="Arial"/>
              </w:rPr>
              <w:t>4</w:t>
            </w:r>
            <w:r w:rsidR="00B846B1">
              <w:rPr>
                <w:rFonts w:ascii="Arial" w:hAnsi="Arial" w:cs="Arial"/>
              </w:rPr>
              <w:t>/09/2020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 w:rsidP="00B8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School: </w:t>
            </w:r>
            <w:r w:rsidR="00CE26BD">
              <w:rPr>
                <w:rFonts w:ascii="Arial" w:hAnsi="Arial" w:cs="Arial"/>
                <w:b/>
              </w:rPr>
              <w:t xml:space="preserve">St </w:t>
            </w:r>
            <w:r w:rsidR="00B846B1">
              <w:rPr>
                <w:rFonts w:ascii="Arial" w:hAnsi="Arial" w:cs="Arial"/>
                <w:b/>
              </w:rPr>
              <w:t>Anthony’s Catholic Primary School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D95" w:rsidRPr="00FA3A97" w:rsidRDefault="004F4D95" w:rsidP="00B84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Team: </w:t>
            </w:r>
            <w:r w:rsidR="00CE26BD">
              <w:rPr>
                <w:rFonts w:ascii="Arial" w:hAnsi="Arial" w:cs="Arial"/>
                <w:b/>
              </w:rPr>
              <w:t xml:space="preserve"> </w:t>
            </w:r>
            <w:r w:rsidR="00FA3A97">
              <w:rPr>
                <w:rFonts w:ascii="Arial" w:hAnsi="Arial" w:cs="Arial"/>
                <w:b/>
              </w:rPr>
              <w:t>Inclusion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 w:rsidP="00B8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  <w:r w:rsidR="00B846B1">
              <w:rPr>
                <w:rFonts w:ascii="Arial" w:hAnsi="Arial" w:cs="Arial"/>
                <w:b/>
              </w:rPr>
              <w:t>St Anthony’s Catholic primary School</w:t>
            </w:r>
          </w:p>
        </w:tc>
      </w:tr>
      <w:tr w:rsidR="004F4D95" w:rsidTr="004F4D9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F4D95" w:rsidRDefault="004F4D9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Review Date:</w:t>
            </w:r>
            <w:r w:rsidR="00AE04C5">
              <w:rPr>
                <w:rFonts w:ascii="Arial" w:hAnsi="Arial" w:cs="Arial"/>
              </w:rPr>
              <w:t xml:space="preserve"> Monday 14</w:t>
            </w:r>
            <w:r w:rsidR="00AE04C5" w:rsidRPr="00AE04C5">
              <w:rPr>
                <w:rFonts w:ascii="Arial" w:hAnsi="Arial" w:cs="Arial"/>
                <w:vertAlign w:val="superscript"/>
              </w:rPr>
              <w:t>th</w:t>
            </w:r>
            <w:r w:rsidR="00AE04C5">
              <w:rPr>
                <w:rFonts w:ascii="Arial" w:hAnsi="Arial" w:cs="Arial"/>
                <w:vertAlign w:val="superscript"/>
              </w:rPr>
              <w:t xml:space="preserve">  </w:t>
            </w:r>
            <w:r w:rsidR="00AE04C5">
              <w:rPr>
                <w:rFonts w:ascii="Arial" w:hAnsi="Arial" w:cs="Arial"/>
              </w:rPr>
              <w:t>September and  fortnightly thereafter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Ref:</w:t>
            </w:r>
            <w:r w:rsidR="00AE04C5">
              <w:rPr>
                <w:rFonts w:ascii="Arial" w:hAnsi="Arial" w:cs="Arial"/>
                <w:b/>
              </w:rPr>
              <w:t xml:space="preserve"> COVID </w:t>
            </w:r>
            <w:r w:rsidR="00FA3A97">
              <w:rPr>
                <w:rFonts w:ascii="Arial" w:hAnsi="Arial" w:cs="Arial"/>
                <w:b/>
              </w:rPr>
              <w:t>–</w:t>
            </w:r>
            <w:r w:rsidR="00AE04C5">
              <w:rPr>
                <w:rFonts w:ascii="Arial" w:hAnsi="Arial" w:cs="Arial"/>
                <w:b/>
              </w:rPr>
              <w:t xml:space="preserve"> 19</w:t>
            </w:r>
            <w:r w:rsidR="00FA3A97">
              <w:rPr>
                <w:rFonts w:ascii="Arial" w:hAnsi="Arial" w:cs="Arial"/>
                <w:b/>
              </w:rPr>
              <w:t xml:space="preserve"> &amp; </w:t>
            </w:r>
            <w:r w:rsidR="004B751C">
              <w:rPr>
                <w:rFonts w:ascii="Arial" w:hAnsi="Arial" w:cs="Arial"/>
                <w:b/>
              </w:rPr>
              <w:t>SCD</w:t>
            </w:r>
          </w:p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Assessor: </w:t>
            </w:r>
            <w:r w:rsidR="00FA3A97">
              <w:rPr>
                <w:rFonts w:ascii="Arial" w:hAnsi="Arial" w:cs="Arial"/>
                <w:b/>
              </w:rPr>
              <w:t>Mrs R Burden-</w:t>
            </w:r>
            <w:proofErr w:type="spellStart"/>
            <w:r w:rsidR="00FA3A97">
              <w:rPr>
                <w:rFonts w:ascii="Arial" w:hAnsi="Arial" w:cs="Arial"/>
                <w:b/>
              </w:rPr>
              <w:t>Eastabrook</w:t>
            </w:r>
            <w:proofErr w:type="spellEnd"/>
          </w:p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 w:rsidP="00B84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Head Teacher: </w:t>
            </w:r>
            <w:r w:rsidR="00CE26BD">
              <w:rPr>
                <w:rFonts w:ascii="Arial" w:hAnsi="Arial" w:cs="Arial"/>
                <w:b/>
              </w:rPr>
              <w:t xml:space="preserve"> Mrs </w:t>
            </w:r>
            <w:r w:rsidR="00B846B1">
              <w:rPr>
                <w:rFonts w:ascii="Arial" w:hAnsi="Arial" w:cs="Arial"/>
                <w:b/>
              </w:rPr>
              <w:t>L White</w:t>
            </w:r>
          </w:p>
        </w:tc>
      </w:tr>
    </w:tbl>
    <w:p w:rsidR="004F4D95" w:rsidRDefault="004F4D95" w:rsidP="004F4D95">
      <w:pPr>
        <w:rPr>
          <w:rFonts w:ascii="Arial" w:hAnsi="Arial" w:cs="Arial"/>
          <w:sz w:val="16"/>
        </w:rPr>
      </w:pPr>
    </w:p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598"/>
      </w:tblGrid>
      <w:tr w:rsidR="004F4D95" w:rsidTr="004F4D9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95" w:rsidRDefault="004F4D95">
            <w:r>
              <w:t>B</w:t>
            </w:r>
          </w:p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95" w:rsidRDefault="004F4D95" w:rsidP="00F60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Assessment of Risk for:</w:t>
            </w:r>
            <w:r w:rsidR="00FA3A97">
              <w:rPr>
                <w:rFonts w:ascii="Arial" w:hAnsi="Arial" w:cs="Arial"/>
                <w:b/>
              </w:rPr>
              <w:t xml:space="preserve"> </w:t>
            </w:r>
            <w:r w:rsidR="00C12FB1">
              <w:rPr>
                <w:rFonts w:ascii="Arial" w:hAnsi="Arial" w:cs="Arial"/>
              </w:rPr>
              <w:t xml:space="preserve">additional measures taken to ensure safety of </w:t>
            </w:r>
            <w:r w:rsidR="00F6059B">
              <w:rPr>
                <w:rFonts w:ascii="Arial" w:hAnsi="Arial" w:cs="Arial"/>
              </w:rPr>
              <w:t>pupils</w:t>
            </w:r>
            <w:r w:rsidR="00FA3A97">
              <w:rPr>
                <w:rFonts w:ascii="Arial" w:hAnsi="Arial" w:cs="Arial"/>
              </w:rPr>
              <w:t xml:space="preserve"> with </w:t>
            </w:r>
            <w:r w:rsidR="00777E65">
              <w:rPr>
                <w:rFonts w:ascii="Arial" w:hAnsi="Arial" w:cs="Arial"/>
              </w:rPr>
              <w:t xml:space="preserve">SCD </w:t>
            </w:r>
            <w:r w:rsidR="00C12FB1">
              <w:rPr>
                <w:rFonts w:ascii="Arial" w:hAnsi="Arial" w:cs="Arial"/>
              </w:rPr>
              <w:t>during COVID-19 pandemic</w:t>
            </w:r>
          </w:p>
          <w:p w:rsidR="00E90E07" w:rsidRDefault="00E90E07" w:rsidP="00F6059B">
            <w:pPr>
              <w:rPr>
                <w:rFonts w:ascii="Arial" w:hAnsi="Arial" w:cs="Arial"/>
              </w:rPr>
            </w:pPr>
          </w:p>
          <w:p w:rsidR="0040535D" w:rsidRDefault="00777E65" w:rsidP="004B751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</w:t>
            </w:r>
            <w:r w:rsidRPr="00777E65">
              <w:rPr>
                <w:rFonts w:ascii="Arial" w:hAnsi="Arial" w:cs="Arial"/>
                <w:i/>
              </w:rPr>
              <w:t>hildren with sickle cell disease, thalassaemia and rare anaemias who do not have other risk factors, do not seem to be at increased risk of having severe disease</w:t>
            </w:r>
            <w:r>
              <w:rPr>
                <w:rFonts w:ascii="Arial" w:hAnsi="Arial" w:cs="Arial"/>
                <w:i/>
              </w:rPr>
              <w:t>.</w:t>
            </w:r>
            <w:r w:rsidR="004B751C">
              <w:rPr>
                <w:rFonts w:ascii="Arial" w:hAnsi="Arial" w:cs="Arial"/>
                <w:i/>
              </w:rPr>
              <w:t xml:space="preserve"> Having</w:t>
            </w:r>
            <w:r w:rsidR="004B751C" w:rsidRPr="004B751C">
              <w:rPr>
                <w:rFonts w:ascii="Arial" w:hAnsi="Arial" w:cs="Arial"/>
                <w:i/>
              </w:rPr>
              <w:t xml:space="preserve"> sickle cell trait </w:t>
            </w:r>
            <w:r w:rsidR="004B751C">
              <w:rPr>
                <w:rFonts w:ascii="Arial" w:hAnsi="Arial" w:cs="Arial"/>
                <w:i/>
              </w:rPr>
              <w:t>does no</w:t>
            </w:r>
            <w:r w:rsidR="004B751C" w:rsidRPr="004B751C">
              <w:rPr>
                <w:rFonts w:ascii="Arial" w:hAnsi="Arial" w:cs="Arial"/>
                <w:i/>
              </w:rPr>
              <w:t>t make you more vul</w:t>
            </w:r>
            <w:r w:rsidR="004B751C">
              <w:rPr>
                <w:rFonts w:ascii="Arial" w:hAnsi="Arial" w:cs="Arial"/>
                <w:i/>
              </w:rPr>
              <w:t>nerable to coronavirus infection.</w:t>
            </w:r>
          </w:p>
        </w:tc>
      </w:tr>
    </w:tbl>
    <w:p w:rsidR="004F4D95" w:rsidRDefault="004F4D95" w:rsidP="004F4D95">
      <w:pPr>
        <w:rPr>
          <w:rFonts w:ascii="Arial" w:hAnsi="Arial" w:cs="Arial"/>
          <w:sz w:val="16"/>
        </w:rPr>
      </w:pPr>
    </w:p>
    <w:tbl>
      <w:tblPr>
        <w:tblW w:w="151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2127"/>
        <w:gridCol w:w="8786"/>
        <w:gridCol w:w="851"/>
      </w:tblGrid>
      <w:tr w:rsidR="004F4D95" w:rsidTr="00E90E07">
        <w:trPr>
          <w:cantSplit/>
          <w:trHeight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D95" w:rsidRDefault="004F4D95">
            <w:pPr>
              <w:rPr>
                <w:b/>
              </w:rPr>
            </w:pPr>
            <w:r>
              <w:t>C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Hazards Here</w:t>
            </w:r>
          </w:p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Groups of </w:t>
            </w:r>
          </w:p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People at Risk</w:t>
            </w:r>
          </w:p>
        </w:tc>
        <w:tc>
          <w:tcPr>
            <w:tcW w:w="8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Existing Controls</w:t>
            </w:r>
          </w:p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Level</w:t>
            </w:r>
          </w:p>
        </w:tc>
      </w:tr>
      <w:tr w:rsidR="004F4D95" w:rsidTr="00E90E07">
        <w:trPr>
          <w:cantSplit/>
          <w:trHeight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</w:t>
            </w:r>
            <w:r>
              <w:rPr>
                <w:rFonts w:ascii="Arial" w:hAnsi="Arial" w:cs="Arial"/>
                <w:sz w:val="16"/>
                <w:vertAlign w:val="superscript"/>
              </w:rPr>
              <w:t>o</w:t>
            </w: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  <w:tc>
          <w:tcPr>
            <w:tcW w:w="8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</w:tr>
      <w:tr w:rsidR="00C12FB1" w:rsidTr="00E90E07">
        <w:trPr>
          <w:cantSplit/>
          <w:trHeight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FB1" w:rsidRPr="00C12FB1" w:rsidRDefault="00C12FB1" w:rsidP="00C12F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FB1" w:rsidRDefault="00777E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SCD</w:t>
            </w:r>
            <w:r w:rsidR="00C12FB1">
              <w:rPr>
                <w:rFonts w:ascii="Arial" w:hAnsi="Arial" w:cs="Arial"/>
                <w:sz w:val="22"/>
                <w:szCs w:val="22"/>
              </w:rPr>
              <w:t>: General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FB1" w:rsidRPr="004B751C" w:rsidRDefault="004B751C" w:rsidP="004B75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751C">
              <w:rPr>
                <w:rFonts w:ascii="Arial" w:hAnsi="Arial" w:cs="Arial"/>
                <w:sz w:val="22"/>
                <w:szCs w:val="22"/>
              </w:rPr>
              <w:t>Pupils with SCD</w:t>
            </w:r>
          </w:p>
        </w:tc>
        <w:tc>
          <w:tcPr>
            <w:tcW w:w="8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FB1" w:rsidRDefault="00AB67BA" w:rsidP="00C12FB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Health Care</w:t>
            </w:r>
            <w:r w:rsidR="00C12F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C12FB1">
              <w:rPr>
                <w:rFonts w:ascii="Arial" w:hAnsi="Arial" w:cs="Arial"/>
              </w:rPr>
              <w:t>lan in place</w:t>
            </w:r>
          </w:p>
          <w:p w:rsidR="00B14B39" w:rsidRDefault="00C12FB1" w:rsidP="00B14B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Necessary medication provided to school</w:t>
            </w:r>
            <w:r w:rsidR="00B14B39">
              <w:rPr>
                <w:rFonts w:ascii="Arial" w:hAnsi="Arial" w:cs="Arial"/>
              </w:rPr>
              <w:t xml:space="preserve"> in case of crisis</w:t>
            </w:r>
          </w:p>
          <w:p w:rsidR="00B14B39" w:rsidRDefault="00C12FB1" w:rsidP="00B14B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Necessary staff notified of children with </w:t>
            </w:r>
            <w:r w:rsidR="00AB67BA">
              <w:rPr>
                <w:rFonts w:ascii="Arial" w:hAnsi="Arial" w:cs="Arial"/>
              </w:rPr>
              <w:t>SCD – provided with information of what to do in case of Sickle Cell Crisis</w:t>
            </w:r>
          </w:p>
          <w:p w:rsidR="00B14B39" w:rsidRPr="00C12FB1" w:rsidRDefault="00B14B39" w:rsidP="00B14B3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2FB1" w:rsidRPr="00D414FC" w:rsidRDefault="00AB6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4F4D95" w:rsidTr="00E90E07">
        <w:trPr>
          <w:trHeight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D95" w:rsidRDefault="004B7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D95" w:rsidRDefault="00C12FB1" w:rsidP="00C12F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E90E07">
              <w:rPr>
                <w:rFonts w:ascii="Arial" w:hAnsi="Arial" w:cs="Arial"/>
                <w:sz w:val="22"/>
                <w:szCs w:val="22"/>
              </w:rPr>
              <w:t xml:space="preserve">earing of </w:t>
            </w:r>
            <w:r>
              <w:rPr>
                <w:rFonts w:ascii="Arial" w:hAnsi="Arial" w:cs="Arial"/>
                <w:sz w:val="22"/>
                <w:szCs w:val="22"/>
              </w:rPr>
              <w:t>face coverings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51C" w:rsidRPr="004B751C" w:rsidRDefault="004B751C" w:rsidP="004B751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F4D95" w:rsidRPr="004B751C" w:rsidRDefault="004B751C" w:rsidP="004B751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751C">
              <w:rPr>
                <w:rFonts w:ascii="Arial" w:hAnsi="Arial" w:cs="Arial"/>
                <w:sz w:val="22"/>
                <w:szCs w:val="22"/>
                <w:lang w:eastAsia="en-US"/>
              </w:rPr>
              <w:t>Pupils with SCD</w:t>
            </w:r>
          </w:p>
        </w:tc>
        <w:tc>
          <w:tcPr>
            <w:tcW w:w="8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Pr="00C12FB1" w:rsidRDefault="00C12FB1" w:rsidP="00777E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12FB1">
              <w:rPr>
                <w:rFonts w:ascii="Arial" w:hAnsi="Arial" w:cs="Arial"/>
              </w:rPr>
              <w:t>Children in primary school do not need to wear a face covering</w:t>
            </w:r>
            <w:r w:rsidR="004B751C">
              <w:rPr>
                <w:rFonts w:ascii="Arial" w:hAnsi="Arial" w:cs="Arial"/>
              </w:rPr>
              <w:t xml:space="preserve"> – instead, frequent and adequate handwashing should be practised as a way to prevent catching or spreading of germs.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4C5" w:rsidRDefault="00AE04C5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4F4D95" w:rsidTr="00E90E0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D95" w:rsidRDefault="004B75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22"/>
                <w:szCs w:val="22"/>
              </w:rPr>
            </w:pPr>
          </w:p>
          <w:p w:rsidR="004F4D95" w:rsidRDefault="004F4D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Classrooms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51C" w:rsidRPr="004B751C" w:rsidRDefault="004B751C" w:rsidP="004B751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4D95" w:rsidRPr="004B751C" w:rsidRDefault="004B751C" w:rsidP="004B751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751C">
              <w:rPr>
                <w:rFonts w:ascii="Arial" w:hAnsi="Arial" w:cs="Arial"/>
                <w:sz w:val="22"/>
                <w:szCs w:val="22"/>
              </w:rPr>
              <w:t>Pupils with SCD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E65" w:rsidRDefault="00C12FB1" w:rsidP="00777E6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12FB1">
              <w:rPr>
                <w:rFonts w:ascii="Arial" w:hAnsi="Arial" w:cs="Arial"/>
              </w:rPr>
              <w:t>Since classroom windows will be open</w:t>
            </w:r>
            <w:r>
              <w:rPr>
                <w:rFonts w:ascii="Arial" w:hAnsi="Arial" w:cs="Arial"/>
              </w:rPr>
              <w:t>,</w:t>
            </w:r>
            <w:r w:rsidRPr="00C12FB1">
              <w:rPr>
                <w:rFonts w:ascii="Arial" w:hAnsi="Arial" w:cs="Arial"/>
              </w:rPr>
              <w:t xml:space="preserve"> </w:t>
            </w:r>
            <w:r w:rsidR="00D51BE1">
              <w:rPr>
                <w:rFonts w:ascii="Arial" w:hAnsi="Arial" w:cs="Arial"/>
              </w:rPr>
              <w:t>pupils</w:t>
            </w:r>
            <w:r w:rsidRPr="00C12FB1">
              <w:rPr>
                <w:rFonts w:ascii="Arial" w:hAnsi="Arial" w:cs="Arial"/>
              </w:rPr>
              <w:t xml:space="preserve"> with </w:t>
            </w:r>
            <w:r w:rsidR="00777E65">
              <w:rPr>
                <w:rFonts w:ascii="Arial" w:hAnsi="Arial" w:cs="Arial"/>
              </w:rPr>
              <w:t xml:space="preserve">SCD </w:t>
            </w:r>
            <w:r w:rsidRPr="00C12FB1">
              <w:rPr>
                <w:rFonts w:ascii="Arial" w:hAnsi="Arial" w:cs="Arial"/>
              </w:rPr>
              <w:t xml:space="preserve">should not be placed close to the window to </w:t>
            </w:r>
            <w:r w:rsidR="00777E65">
              <w:rPr>
                <w:rFonts w:ascii="Arial" w:hAnsi="Arial" w:cs="Arial"/>
              </w:rPr>
              <w:t>avoid becoming too cold which could trigger an episode of pain.</w:t>
            </w:r>
          </w:p>
          <w:p w:rsidR="00D414FC" w:rsidRPr="00C12FB1" w:rsidRDefault="00D414FC" w:rsidP="004B75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reminded to dress children appropriately to</w:t>
            </w:r>
            <w:r w:rsidR="004B751C">
              <w:rPr>
                <w:rFonts w:ascii="Arial" w:hAnsi="Arial" w:cs="Arial"/>
              </w:rPr>
              <w:t xml:space="preserve"> avoid them becoming too hot or too cold which could trigger an episode of pain.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59F" w:rsidRDefault="00812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259F" w:rsidRDefault="0081259F">
            <w:pPr>
              <w:rPr>
                <w:rFonts w:ascii="Arial" w:hAnsi="Arial" w:cs="Arial"/>
                <w:sz w:val="22"/>
                <w:szCs w:val="22"/>
              </w:rPr>
            </w:pPr>
          </w:p>
          <w:p w:rsidR="0081259F" w:rsidRDefault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  <w:p w:rsidR="0081259F" w:rsidRDefault="008125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4FC" w:rsidTr="00E90E07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D414FC" w:rsidP="00D4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4B751C" w:rsidP="00D4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0535D" w:rsidRDefault="0040535D" w:rsidP="00D41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Exposure to cold environments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Pr="004B751C" w:rsidRDefault="00D414FC" w:rsidP="004B751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14FC" w:rsidRPr="004B751C" w:rsidRDefault="004B751C" w:rsidP="004B751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751C">
              <w:rPr>
                <w:rFonts w:ascii="Arial" w:hAnsi="Arial" w:cs="Arial"/>
                <w:sz w:val="22"/>
                <w:szCs w:val="22"/>
              </w:rPr>
              <w:t>Pupils with SCD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51C" w:rsidRDefault="0040535D" w:rsidP="004B751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PE lessons will take place o</w:t>
            </w:r>
            <w:r w:rsidR="00D414FC">
              <w:rPr>
                <w:rFonts w:ascii="Arial" w:hAnsi="Arial" w:cs="Arial"/>
              </w:rPr>
              <w:t>utdoor</w:t>
            </w:r>
            <w:r>
              <w:rPr>
                <w:rFonts w:ascii="Arial" w:hAnsi="Arial" w:cs="Arial"/>
              </w:rPr>
              <w:t>s. If the weather is particularly cold</w:t>
            </w:r>
            <w:r w:rsidR="00AB67BA">
              <w:rPr>
                <w:rFonts w:ascii="Arial" w:hAnsi="Arial" w:cs="Arial"/>
              </w:rPr>
              <w:t xml:space="preserve"> or hot</w:t>
            </w:r>
            <w:r>
              <w:rPr>
                <w:rFonts w:ascii="Arial" w:hAnsi="Arial" w:cs="Arial"/>
              </w:rPr>
              <w:t xml:space="preserve">, pupils with </w:t>
            </w:r>
            <w:r w:rsidR="004B751C">
              <w:rPr>
                <w:rFonts w:ascii="Arial" w:hAnsi="Arial" w:cs="Arial"/>
              </w:rPr>
              <w:t>SCD</w:t>
            </w:r>
            <w:r>
              <w:rPr>
                <w:rFonts w:ascii="Arial" w:hAnsi="Arial" w:cs="Arial"/>
              </w:rPr>
              <w:t xml:space="preserve"> will be permitted to stay indoors.</w:t>
            </w:r>
          </w:p>
          <w:p w:rsidR="0040535D" w:rsidRDefault="0040535D" w:rsidP="00AB67B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break and lunch times when playing outside, pupils</w:t>
            </w:r>
            <w:r w:rsidR="004B751C">
              <w:rPr>
                <w:rFonts w:ascii="Arial" w:hAnsi="Arial" w:cs="Arial"/>
              </w:rPr>
              <w:t xml:space="preserve"> should wear a suitable coat</w:t>
            </w:r>
            <w:r w:rsidR="00AB67BA">
              <w:rPr>
                <w:rFonts w:ascii="Arial" w:hAnsi="Arial" w:cs="Arial"/>
              </w:rPr>
              <w:t xml:space="preserve"> on cold days and avoid being overactive on hot days.</w:t>
            </w:r>
          </w:p>
          <w:p w:rsidR="00B14B39" w:rsidRPr="0040535D" w:rsidRDefault="00B14B39" w:rsidP="00B14B3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D414FC" w:rsidTr="00E90E07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D414FC" w:rsidP="00D4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4B751C" w:rsidP="00D4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Covid-19 virus; Pupils who become symptomatic during the school day</w:t>
            </w:r>
          </w:p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Pr="004B751C" w:rsidRDefault="00D414FC" w:rsidP="004B751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14FC" w:rsidRPr="004B751C" w:rsidRDefault="004B751C" w:rsidP="004B751C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751C">
              <w:rPr>
                <w:rFonts w:ascii="Arial" w:hAnsi="Arial" w:cs="Arial"/>
                <w:sz w:val="22"/>
                <w:szCs w:val="22"/>
              </w:rPr>
              <w:t>Pupils with SCD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4B751C" w:rsidP="004B751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SCD can present with fever</w:t>
            </w:r>
            <w:r w:rsidR="00AB67BA">
              <w:rPr>
                <w:rFonts w:ascii="Arial" w:hAnsi="Arial" w:cs="Arial"/>
              </w:rPr>
              <w:t>, trouble breathing</w:t>
            </w:r>
            <w:r>
              <w:rPr>
                <w:rFonts w:ascii="Arial" w:hAnsi="Arial" w:cs="Arial"/>
              </w:rPr>
              <w:t xml:space="preserve"> or chest pain, these symptoms could be mistaken for COVID-19. However, if any pupil presents with</w:t>
            </w:r>
            <w:r w:rsidR="00AB67BA">
              <w:rPr>
                <w:rFonts w:ascii="Arial" w:hAnsi="Arial" w:cs="Arial"/>
              </w:rPr>
              <w:t xml:space="preserve"> any of these</w:t>
            </w:r>
            <w:r>
              <w:rPr>
                <w:rFonts w:ascii="Arial" w:hAnsi="Arial" w:cs="Arial"/>
              </w:rPr>
              <w:t xml:space="preserve"> extreme symptoms of SCD medical care should be sought immediately.</w:t>
            </w:r>
          </w:p>
          <w:p w:rsidR="00AB67BA" w:rsidRDefault="00AB67BA" w:rsidP="004B751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school’s normal procedure for symptomatic pupils will be undertaken.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</w:p>
          <w:p w:rsidR="00D414FC" w:rsidRDefault="00D414FC" w:rsidP="00D414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</w:tbl>
    <w:p w:rsidR="004F4D95" w:rsidRDefault="004F4D95" w:rsidP="004F4D95">
      <w:pPr>
        <w:ind w:left="720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Risk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Level</w:t>
      </w:r>
      <w:r>
        <w:rPr>
          <w:rFonts w:ascii="Arial" w:hAnsi="Arial" w:cs="Arial"/>
          <w:sz w:val="16"/>
        </w:rPr>
        <w:t xml:space="preserve">: </w:t>
      </w:r>
      <w:r>
        <w:rPr>
          <w:rFonts w:ascii="Arial" w:hAnsi="Arial" w:cs="Arial"/>
          <w:b/>
          <w:sz w:val="16"/>
        </w:rPr>
        <w:t>High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Accident likely with possibility of serious injury or loss</w:t>
      </w:r>
    </w:p>
    <w:p w:rsidR="004F4D95" w:rsidRDefault="004F4D95" w:rsidP="004F4D95">
      <w:pPr>
        <w:ind w:left="7200" w:firstLine="72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 xml:space="preserve">    Medium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  <w:t>Possibility of accident occurring causing minor injury or loss</w:t>
      </w:r>
    </w:p>
    <w:p w:rsidR="004F4D95" w:rsidRDefault="004F4D95" w:rsidP="004F4D95">
      <w:pPr>
        <w:rPr>
          <w:rFonts w:ascii="Arial" w:hAnsi="Arial" w:cs="Arial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Low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Accident unlikely with control measures in place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tbl>
      <w:tblPr>
        <w:tblW w:w="1531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956"/>
        <w:gridCol w:w="2694"/>
        <w:gridCol w:w="1702"/>
        <w:gridCol w:w="2127"/>
        <w:gridCol w:w="2270"/>
      </w:tblGrid>
      <w:tr w:rsidR="004F4D95" w:rsidTr="004F4D95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D95" w:rsidRDefault="004F4D95"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  <w:t>D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Controls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800080"/>
              </w:rPr>
              <w:t>E</w:t>
            </w:r>
            <w:r>
              <w:rPr>
                <w:rFonts w:ascii="Arial" w:hAnsi="Arial" w:cs="Arial"/>
                <w:b/>
              </w:rPr>
              <w:tab/>
              <w:t>To be completed by the Manager</w:t>
            </w:r>
          </w:p>
        </w:tc>
      </w:tr>
      <w:tr w:rsidR="004F4D95" w:rsidTr="004F4D95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</w:t>
            </w:r>
            <w:proofErr w:type="spellStart"/>
            <w:r>
              <w:rPr>
                <w:rFonts w:ascii="Arial" w:hAnsi="Arial" w:cs="Arial"/>
              </w:rPr>
              <w:t>Ser</w:t>
            </w:r>
            <w:proofErr w:type="spellEnd"/>
            <w:r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  <w:vertAlign w:val="superscript"/>
              </w:rPr>
              <w:t>º</w:t>
            </w:r>
            <w:r>
              <w:rPr>
                <w:rFonts w:ascii="Arial" w:hAnsi="Arial" w:cs="Arial"/>
              </w:rPr>
              <w:t xml:space="preserve"> to correspond with Hazard </w:t>
            </w:r>
            <w:proofErr w:type="spellStart"/>
            <w:r>
              <w:rPr>
                <w:rFonts w:ascii="Arial" w:hAnsi="Arial" w:cs="Arial"/>
              </w:rPr>
              <w:t>Ser</w:t>
            </w:r>
            <w:proofErr w:type="spellEnd"/>
            <w:r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  <w:vertAlign w:val="superscript"/>
              </w:rPr>
              <w:t>º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7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b/>
                <w:i/>
              </w:rPr>
            </w:pPr>
          </w:p>
        </w:tc>
      </w:tr>
      <w:tr w:rsidR="004F4D95" w:rsidTr="004F4D95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6"/>
              </w:rPr>
            </w:pPr>
          </w:p>
          <w:p w:rsidR="004F4D95" w:rsidRDefault="004F4D95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Ser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N</w:t>
            </w:r>
            <w:r>
              <w:rPr>
                <w:rFonts w:ascii="Arial" w:hAnsi="Arial" w:cs="Arial"/>
                <w:sz w:val="16"/>
                <w:vertAlign w:val="superscript"/>
              </w:rPr>
              <w:t>o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</w:rPr>
              <w:t>Additional Controls Required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</w:rPr>
              <w:t>Action to be Taken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4D95" w:rsidRDefault="004F4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Style w:val="Strong"/>
                <w:rFonts w:ascii="Arial" w:hAnsi="Arial" w:cs="Arial"/>
                <w:lang w:val="en"/>
              </w:rPr>
              <w:t>Target Completion Date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Task Completed </w:t>
            </w: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(Signed &amp; Dated)</w:t>
            </w:r>
          </w:p>
        </w:tc>
      </w:tr>
      <w:tr w:rsidR="004F4D95" w:rsidTr="004F4D9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</w:tr>
      <w:tr w:rsidR="004F4D95" w:rsidTr="004F4D9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</w:tr>
      <w:tr w:rsidR="004F4D95" w:rsidTr="004F4D9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  <w:p w:rsidR="004F4D95" w:rsidRDefault="004F4D9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</w:tr>
      <w:tr w:rsidR="004F4D95" w:rsidTr="004F4D9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4D95" w:rsidRDefault="004F4D95">
            <w:pPr>
              <w:rPr>
                <w:rFonts w:ascii="Arial" w:hAnsi="Arial" w:cs="Arial"/>
                <w:sz w:val="18"/>
              </w:rPr>
            </w:pPr>
          </w:p>
        </w:tc>
      </w:tr>
    </w:tbl>
    <w:p w:rsidR="004F4D95" w:rsidRDefault="004F4D95" w:rsidP="004F4D95"/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8"/>
        <w:gridCol w:w="7654"/>
      </w:tblGrid>
      <w:tr w:rsidR="004F4D95" w:rsidTr="004F4D95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5" w:rsidRDefault="004F4D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800080"/>
              </w:rPr>
              <w:t>F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  <w:p w:rsidR="004F4D95" w:rsidRDefault="004F4D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Once additional controls are implemented, what will the overall risk level be:</w:t>
            </w:r>
          </w:p>
          <w:p w:rsidR="004F4D95" w:rsidRDefault="004F4D95">
            <w:pPr>
              <w:rPr>
                <w:rFonts w:ascii="Arial" w:hAnsi="Arial" w:cs="Arial"/>
                <w:b/>
              </w:rPr>
            </w:pPr>
          </w:p>
          <w:p w:rsidR="004F4D95" w:rsidRDefault="004F4D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                      Medium                       Low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  <w:p w:rsidR="004F4D95" w:rsidRDefault="004F4D95">
            <w:pPr>
              <w:rPr>
                <w:i/>
              </w:rPr>
            </w:pPr>
          </w:p>
          <w:p w:rsidR="004F4D95" w:rsidRDefault="004F4D95">
            <w:pPr>
              <w:rPr>
                <w:i/>
              </w:rPr>
            </w:pPr>
            <w:r>
              <w:rPr>
                <w:i/>
              </w:rPr>
              <w:t>Please note an electronic signature will suffice.</w:t>
            </w:r>
          </w:p>
        </w:tc>
      </w:tr>
      <w:tr w:rsidR="004F4D95" w:rsidTr="004F4D95">
        <w:trPr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D95" w:rsidRDefault="004F4D95">
            <w:pPr>
              <w:rPr>
                <w:rFonts w:ascii="Arial" w:hAnsi="Arial" w:cs="Arial"/>
                <w:color w:val="8000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95" w:rsidRDefault="004F4D9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95" w:rsidRDefault="004F4D95">
            <w:pPr>
              <w:rPr>
                <w:i/>
              </w:rPr>
            </w:pPr>
          </w:p>
        </w:tc>
      </w:tr>
    </w:tbl>
    <w:p w:rsidR="00C44D96" w:rsidRDefault="00C44D96"/>
    <w:sectPr w:rsidR="00C44D96" w:rsidSect="004F4D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817"/>
    <w:multiLevelType w:val="hybridMultilevel"/>
    <w:tmpl w:val="ABF2F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011F"/>
    <w:multiLevelType w:val="hybridMultilevel"/>
    <w:tmpl w:val="4D1E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5C54"/>
    <w:multiLevelType w:val="hybridMultilevel"/>
    <w:tmpl w:val="76B22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37A24"/>
    <w:multiLevelType w:val="hybridMultilevel"/>
    <w:tmpl w:val="14044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1293E"/>
    <w:multiLevelType w:val="hybridMultilevel"/>
    <w:tmpl w:val="C888B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AA9"/>
    <w:multiLevelType w:val="hybridMultilevel"/>
    <w:tmpl w:val="9B02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37A5"/>
    <w:multiLevelType w:val="hybridMultilevel"/>
    <w:tmpl w:val="B898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71BA"/>
    <w:multiLevelType w:val="hybridMultilevel"/>
    <w:tmpl w:val="9F62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5635"/>
    <w:multiLevelType w:val="hybridMultilevel"/>
    <w:tmpl w:val="CB66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65D93"/>
    <w:multiLevelType w:val="hybridMultilevel"/>
    <w:tmpl w:val="457C3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FE70A3"/>
    <w:multiLevelType w:val="hybridMultilevel"/>
    <w:tmpl w:val="CE1A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90D9C"/>
    <w:multiLevelType w:val="hybridMultilevel"/>
    <w:tmpl w:val="9FE6C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E1A7A"/>
    <w:multiLevelType w:val="hybridMultilevel"/>
    <w:tmpl w:val="333AC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6759E"/>
    <w:multiLevelType w:val="hybridMultilevel"/>
    <w:tmpl w:val="FD64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C22E4"/>
    <w:multiLevelType w:val="hybridMultilevel"/>
    <w:tmpl w:val="E10A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0766"/>
    <w:multiLevelType w:val="hybridMultilevel"/>
    <w:tmpl w:val="1C347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95"/>
    <w:rsid w:val="003108A8"/>
    <w:rsid w:val="00393511"/>
    <w:rsid w:val="0040535D"/>
    <w:rsid w:val="004632C2"/>
    <w:rsid w:val="004B751C"/>
    <w:rsid w:val="004F4D95"/>
    <w:rsid w:val="00554A2A"/>
    <w:rsid w:val="0067250F"/>
    <w:rsid w:val="00777E65"/>
    <w:rsid w:val="0081259F"/>
    <w:rsid w:val="009A054E"/>
    <w:rsid w:val="00A32E24"/>
    <w:rsid w:val="00AB67BA"/>
    <w:rsid w:val="00AE04C5"/>
    <w:rsid w:val="00B14B39"/>
    <w:rsid w:val="00B846B1"/>
    <w:rsid w:val="00BF609E"/>
    <w:rsid w:val="00C12FB1"/>
    <w:rsid w:val="00C44D96"/>
    <w:rsid w:val="00CE26BD"/>
    <w:rsid w:val="00D414FC"/>
    <w:rsid w:val="00D51BE1"/>
    <w:rsid w:val="00E90E07"/>
    <w:rsid w:val="00F6059B"/>
    <w:rsid w:val="00FA3A97"/>
    <w:rsid w:val="00F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37147-6931-4352-B709-2AA67FC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sid w:val="004F4D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4F4D95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4F4D9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uiPriority w:val="34"/>
    <w:locked/>
    <w:rsid w:val="004F4D95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uiPriority w:val="34"/>
    <w:qFormat/>
    <w:rsid w:val="004F4D95"/>
    <w:pPr>
      <w:ind w:left="720"/>
      <w:contextualSpacing/>
    </w:pPr>
    <w:rPr>
      <w:sz w:val="22"/>
      <w:szCs w:val="22"/>
    </w:rPr>
  </w:style>
  <w:style w:type="character" w:styleId="Strong">
    <w:name w:val="Strong"/>
    <w:basedOn w:val="DefaultParagraphFont"/>
    <w:qFormat/>
    <w:rsid w:val="004F4D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0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Agate</dc:creator>
  <cp:keywords/>
  <dc:description/>
  <cp:lastModifiedBy>LWhite</cp:lastModifiedBy>
  <cp:revision>2</cp:revision>
  <dcterms:created xsi:type="dcterms:W3CDTF">2020-09-04T14:34:00Z</dcterms:created>
  <dcterms:modified xsi:type="dcterms:W3CDTF">2020-09-04T14:34:00Z</dcterms:modified>
</cp:coreProperties>
</file>