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B1" w:rsidRDefault="00B846B1" w:rsidP="004F4D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846B1" w:rsidRDefault="00B846B1" w:rsidP="004F4D95">
      <w:pPr>
        <w:jc w:val="center"/>
        <w:rPr>
          <w:rFonts w:ascii="Arial" w:hAnsi="Arial" w:cs="Arial"/>
          <w:b/>
          <w:sz w:val="28"/>
          <w:szCs w:val="28"/>
        </w:rPr>
      </w:pPr>
    </w:p>
    <w:p w:rsidR="004F4D95" w:rsidRDefault="004F4D95" w:rsidP="004F4D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 Assessment</w:t>
      </w:r>
    </w:p>
    <w:p w:rsidR="00B846B1" w:rsidRDefault="00B846B1" w:rsidP="004F4D95">
      <w:pPr>
        <w:jc w:val="center"/>
        <w:rPr>
          <w:rFonts w:ascii="Arial" w:hAnsi="Arial" w:cs="Arial"/>
          <w:b/>
          <w:sz w:val="28"/>
          <w:szCs w:val="28"/>
        </w:rPr>
      </w:pPr>
    </w:p>
    <w:p w:rsidR="004F4D95" w:rsidRDefault="004F4D95" w:rsidP="004F4D95">
      <w:pPr>
        <w:jc w:val="center"/>
        <w:rPr>
          <w:rFonts w:ascii="Arial" w:hAnsi="Arial" w:cs="Arial"/>
          <w:sz w:val="8"/>
        </w:rPr>
      </w:pPr>
    </w:p>
    <w:tbl>
      <w:tblPr>
        <w:tblW w:w="151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79"/>
        <w:gridCol w:w="3509"/>
        <w:gridCol w:w="3835"/>
        <w:gridCol w:w="4375"/>
      </w:tblGrid>
      <w:tr w:rsidR="004F4D95" w:rsidTr="004F4D9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A</w:t>
            </w:r>
            <w:r>
              <w:rPr>
                <w:rFonts w:ascii="Arial" w:hAnsi="Arial" w:cs="Arial"/>
                <w:b/>
                <w:color w:val="800080"/>
              </w:rP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FA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 </w:t>
            </w:r>
            <w:r w:rsidR="00B846B1">
              <w:rPr>
                <w:rFonts w:ascii="Arial" w:hAnsi="Arial" w:cs="Arial"/>
              </w:rPr>
              <w:t>0</w:t>
            </w:r>
            <w:r w:rsidR="00FA3A97">
              <w:rPr>
                <w:rFonts w:ascii="Arial" w:hAnsi="Arial" w:cs="Arial"/>
              </w:rPr>
              <w:t>4</w:t>
            </w:r>
            <w:r w:rsidR="00B846B1">
              <w:rPr>
                <w:rFonts w:ascii="Arial" w:hAnsi="Arial" w:cs="Arial"/>
              </w:rPr>
              <w:t>/09/2020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B8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  <w:r w:rsidR="00CE26BD">
              <w:rPr>
                <w:rFonts w:ascii="Arial" w:hAnsi="Arial" w:cs="Arial"/>
                <w:b/>
              </w:rPr>
              <w:t xml:space="preserve">St </w:t>
            </w:r>
            <w:r w:rsidR="00B846B1">
              <w:rPr>
                <w:rFonts w:ascii="Arial" w:hAnsi="Arial" w:cs="Arial"/>
                <w:b/>
              </w:rPr>
              <w:t>Anthony’s Catholic Primary School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Pr="00FA3A97" w:rsidRDefault="004F4D95" w:rsidP="00B84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Team: </w:t>
            </w:r>
            <w:r w:rsidR="00CE26BD">
              <w:rPr>
                <w:rFonts w:ascii="Arial" w:hAnsi="Arial" w:cs="Arial"/>
                <w:b/>
              </w:rPr>
              <w:t xml:space="preserve"> </w:t>
            </w:r>
            <w:r w:rsidR="00FA3A97">
              <w:rPr>
                <w:rFonts w:ascii="Arial" w:hAnsi="Arial" w:cs="Arial"/>
                <w:b/>
              </w:rPr>
              <w:t>Inclusion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B8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  <w:r w:rsidR="00B846B1">
              <w:rPr>
                <w:rFonts w:ascii="Arial" w:hAnsi="Arial" w:cs="Arial"/>
                <w:b/>
              </w:rPr>
              <w:t>St Anthony’s Catholic primary School</w:t>
            </w:r>
          </w:p>
        </w:tc>
      </w:tr>
      <w:tr w:rsidR="004F4D95" w:rsidTr="004F4D9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4D95" w:rsidRDefault="004F4D9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Review Date:</w:t>
            </w:r>
            <w:r w:rsidR="00AE04C5">
              <w:rPr>
                <w:rFonts w:ascii="Arial" w:hAnsi="Arial" w:cs="Arial"/>
              </w:rPr>
              <w:t xml:space="preserve"> Monday 14</w:t>
            </w:r>
            <w:r w:rsidR="00AE04C5" w:rsidRPr="00AE04C5">
              <w:rPr>
                <w:rFonts w:ascii="Arial" w:hAnsi="Arial" w:cs="Arial"/>
                <w:vertAlign w:val="superscript"/>
              </w:rPr>
              <w:t>th</w:t>
            </w:r>
            <w:r w:rsidR="00AE04C5">
              <w:rPr>
                <w:rFonts w:ascii="Arial" w:hAnsi="Arial" w:cs="Arial"/>
                <w:vertAlign w:val="superscript"/>
              </w:rPr>
              <w:t xml:space="preserve">  </w:t>
            </w:r>
            <w:r w:rsidR="00AE04C5">
              <w:rPr>
                <w:rFonts w:ascii="Arial" w:hAnsi="Arial" w:cs="Arial"/>
              </w:rPr>
              <w:t>September and  fortnightly thereafter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Ref:</w:t>
            </w:r>
            <w:r w:rsidR="00AE04C5">
              <w:rPr>
                <w:rFonts w:ascii="Arial" w:hAnsi="Arial" w:cs="Arial"/>
                <w:b/>
              </w:rPr>
              <w:t xml:space="preserve"> COVID </w:t>
            </w:r>
            <w:r w:rsidR="00FA3A97">
              <w:rPr>
                <w:rFonts w:ascii="Arial" w:hAnsi="Arial" w:cs="Arial"/>
                <w:b/>
              </w:rPr>
              <w:t>–</w:t>
            </w:r>
            <w:r w:rsidR="00AE04C5">
              <w:rPr>
                <w:rFonts w:ascii="Arial" w:hAnsi="Arial" w:cs="Arial"/>
                <w:b/>
              </w:rPr>
              <w:t xml:space="preserve"> 19</w:t>
            </w:r>
            <w:r w:rsidR="00FA3A97">
              <w:rPr>
                <w:rFonts w:ascii="Arial" w:hAnsi="Arial" w:cs="Arial"/>
                <w:b/>
              </w:rPr>
              <w:t xml:space="preserve"> &amp; Asthma</w:t>
            </w: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Assessor: </w:t>
            </w:r>
            <w:r w:rsidR="00FA3A97">
              <w:rPr>
                <w:rFonts w:ascii="Arial" w:hAnsi="Arial" w:cs="Arial"/>
                <w:b/>
              </w:rPr>
              <w:t>Mrs R Burden-</w:t>
            </w:r>
            <w:proofErr w:type="spellStart"/>
            <w:r w:rsidR="00FA3A97">
              <w:rPr>
                <w:rFonts w:ascii="Arial" w:hAnsi="Arial" w:cs="Arial"/>
                <w:b/>
              </w:rPr>
              <w:t>Eastabrook</w:t>
            </w:r>
            <w:proofErr w:type="spellEnd"/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B8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Head Teacher: </w:t>
            </w:r>
            <w:r w:rsidR="00CE26BD">
              <w:rPr>
                <w:rFonts w:ascii="Arial" w:hAnsi="Arial" w:cs="Arial"/>
                <w:b/>
              </w:rPr>
              <w:t xml:space="preserve"> Mrs </w:t>
            </w:r>
            <w:r w:rsidR="00B846B1">
              <w:rPr>
                <w:rFonts w:ascii="Arial" w:hAnsi="Arial" w:cs="Arial"/>
                <w:b/>
              </w:rPr>
              <w:t>L White</w:t>
            </w:r>
          </w:p>
        </w:tc>
      </w:tr>
    </w:tbl>
    <w:p w:rsidR="004F4D95" w:rsidRDefault="004F4D95" w:rsidP="004F4D95">
      <w:pPr>
        <w:rPr>
          <w:rFonts w:ascii="Arial" w:hAnsi="Arial" w:cs="Arial"/>
          <w:sz w:val="16"/>
        </w:rPr>
      </w:pP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598"/>
      </w:tblGrid>
      <w:tr w:rsidR="004F4D95" w:rsidTr="004F4D9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r>
              <w:t>B</w:t>
            </w: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 w:rsidP="00F6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Assessment of Risk for:</w:t>
            </w:r>
            <w:r w:rsidR="00FA3A97">
              <w:rPr>
                <w:rFonts w:ascii="Arial" w:hAnsi="Arial" w:cs="Arial"/>
                <w:b/>
              </w:rPr>
              <w:t xml:space="preserve"> </w:t>
            </w:r>
            <w:r w:rsidR="00C12FB1">
              <w:rPr>
                <w:rFonts w:ascii="Arial" w:hAnsi="Arial" w:cs="Arial"/>
              </w:rPr>
              <w:t xml:space="preserve">additional measures taken to ensure safety of </w:t>
            </w:r>
            <w:r w:rsidR="00F6059B">
              <w:rPr>
                <w:rFonts w:ascii="Arial" w:hAnsi="Arial" w:cs="Arial"/>
              </w:rPr>
              <w:t>pupils</w:t>
            </w:r>
            <w:r w:rsidR="00FA3A97">
              <w:rPr>
                <w:rFonts w:ascii="Arial" w:hAnsi="Arial" w:cs="Arial"/>
              </w:rPr>
              <w:t xml:space="preserve"> with asthma</w:t>
            </w:r>
            <w:r w:rsidR="00C12FB1">
              <w:rPr>
                <w:rFonts w:ascii="Arial" w:hAnsi="Arial" w:cs="Arial"/>
              </w:rPr>
              <w:t xml:space="preserve"> during COVID-19 pandemic</w:t>
            </w:r>
          </w:p>
          <w:p w:rsidR="00E90E07" w:rsidRDefault="00E90E07" w:rsidP="00F6059B">
            <w:pPr>
              <w:rPr>
                <w:rFonts w:ascii="Arial" w:hAnsi="Arial" w:cs="Arial"/>
              </w:rPr>
            </w:pPr>
          </w:p>
          <w:p w:rsidR="0040535D" w:rsidRDefault="00E90E07" w:rsidP="0040535D">
            <w:pPr>
              <w:rPr>
                <w:rFonts w:ascii="Arial" w:hAnsi="Arial" w:cs="Arial"/>
                <w:i/>
              </w:rPr>
            </w:pPr>
            <w:r w:rsidRPr="00E90E07">
              <w:rPr>
                <w:rFonts w:ascii="Arial" w:hAnsi="Arial" w:cs="Arial"/>
                <w:i/>
              </w:rPr>
              <w:t>There is little evidence to suggest that mild, well controlled asthma presents a significant risk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90E07">
              <w:rPr>
                <w:rFonts w:ascii="Arial" w:hAnsi="Arial" w:cs="Arial"/>
                <w:i/>
              </w:rPr>
              <w:t xml:space="preserve">for </w:t>
            </w:r>
            <w:r w:rsidR="00C12FB1">
              <w:rPr>
                <w:rFonts w:ascii="Arial" w:hAnsi="Arial" w:cs="Arial"/>
                <w:i/>
              </w:rPr>
              <w:t xml:space="preserve">severe disease. </w:t>
            </w:r>
            <w:r w:rsidR="00C12FB1" w:rsidRPr="00C12FB1">
              <w:rPr>
                <w:rFonts w:ascii="Arial" w:hAnsi="Arial" w:cs="Arial"/>
                <w:i/>
              </w:rPr>
              <w:t xml:space="preserve">It is important to </w:t>
            </w:r>
            <w:r w:rsidR="00C12FB1">
              <w:rPr>
                <w:rFonts w:ascii="Arial" w:hAnsi="Arial" w:cs="Arial"/>
                <w:i/>
              </w:rPr>
              <w:t>note</w:t>
            </w:r>
            <w:r w:rsidR="00C12FB1" w:rsidRPr="00C12FB1">
              <w:rPr>
                <w:rFonts w:ascii="Arial" w:hAnsi="Arial" w:cs="Arial"/>
                <w:i/>
              </w:rPr>
              <w:t xml:space="preserve"> that severe</w:t>
            </w:r>
            <w:r w:rsidR="00C12FB1">
              <w:rPr>
                <w:rFonts w:ascii="Arial" w:hAnsi="Arial" w:cs="Arial"/>
                <w:i/>
              </w:rPr>
              <w:t xml:space="preserve"> </w:t>
            </w:r>
            <w:r w:rsidR="00C12FB1" w:rsidRPr="00C12FB1">
              <w:rPr>
                <w:rFonts w:ascii="Arial" w:hAnsi="Arial" w:cs="Arial"/>
                <w:i/>
              </w:rPr>
              <w:t>COVID-19 infection is rare in children and young people,</w:t>
            </w:r>
            <w:r w:rsidR="00C12FB1">
              <w:rPr>
                <w:rFonts w:ascii="Arial" w:hAnsi="Arial" w:cs="Arial"/>
                <w:i/>
              </w:rPr>
              <w:t xml:space="preserve"> </w:t>
            </w:r>
            <w:r w:rsidR="00C12FB1" w:rsidRPr="00C12FB1">
              <w:rPr>
                <w:rFonts w:ascii="Arial" w:hAnsi="Arial" w:cs="Arial"/>
                <w:i/>
              </w:rPr>
              <w:t>irrespective of underlying asthma</w:t>
            </w:r>
            <w:r w:rsidR="00C12FB1">
              <w:rPr>
                <w:rFonts w:ascii="Arial" w:hAnsi="Arial" w:cs="Arial"/>
                <w:i/>
              </w:rPr>
              <w:t>.</w:t>
            </w:r>
            <w:r w:rsidR="0040535D">
              <w:rPr>
                <w:rFonts w:ascii="Arial" w:hAnsi="Arial" w:cs="Arial"/>
                <w:i/>
              </w:rPr>
              <w:t xml:space="preserve"> </w:t>
            </w:r>
            <w:r w:rsidR="0040535D" w:rsidRPr="0040535D">
              <w:rPr>
                <w:rFonts w:ascii="Arial" w:hAnsi="Arial" w:cs="Arial"/>
                <w:i/>
              </w:rPr>
              <w:t>It</w:t>
            </w:r>
            <w:r w:rsidR="0040535D">
              <w:rPr>
                <w:rFonts w:ascii="Arial" w:hAnsi="Arial" w:cs="Arial"/>
                <w:i/>
              </w:rPr>
              <w:t xml:space="preserve"> i</w:t>
            </w:r>
            <w:r w:rsidR="0040535D" w:rsidRPr="0040535D">
              <w:rPr>
                <w:rFonts w:ascii="Arial" w:hAnsi="Arial" w:cs="Arial"/>
                <w:i/>
              </w:rPr>
              <w:t xml:space="preserve">s unclear if COVID-19 could be a trigger for asthma attacks. </w:t>
            </w:r>
            <w:r w:rsidR="0040535D">
              <w:rPr>
                <w:rFonts w:ascii="Arial" w:hAnsi="Arial" w:cs="Arial"/>
                <w:i/>
              </w:rPr>
              <w:t>However,</w:t>
            </w:r>
            <w:r w:rsidR="0040535D" w:rsidRPr="0040535D">
              <w:rPr>
                <w:rFonts w:ascii="Arial" w:hAnsi="Arial" w:cs="Arial"/>
                <w:i/>
              </w:rPr>
              <w:t xml:space="preserve"> COVID-19 is</w:t>
            </w:r>
            <w:r w:rsidR="0040535D">
              <w:rPr>
                <w:rFonts w:ascii="Arial" w:hAnsi="Arial" w:cs="Arial"/>
                <w:i/>
              </w:rPr>
              <w:t xml:space="preserve"> a respiratory infection and</w:t>
            </w:r>
            <w:r w:rsidR="0040535D" w:rsidRPr="0040535D">
              <w:rPr>
                <w:rFonts w:ascii="Arial" w:hAnsi="Arial" w:cs="Arial"/>
                <w:i/>
              </w:rPr>
              <w:t xml:space="preserve"> other respiratory infections, such as colds and flu, can trigger an asthma attack.</w:t>
            </w:r>
          </w:p>
        </w:tc>
      </w:tr>
    </w:tbl>
    <w:p w:rsidR="004F4D95" w:rsidRDefault="004F4D95" w:rsidP="004F4D95">
      <w:pPr>
        <w:rPr>
          <w:rFonts w:ascii="Arial" w:hAnsi="Arial" w:cs="Arial"/>
          <w:sz w:val="16"/>
        </w:rPr>
      </w:pPr>
    </w:p>
    <w:tbl>
      <w:tblPr>
        <w:tblW w:w="151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2127"/>
        <w:gridCol w:w="8786"/>
        <w:gridCol w:w="851"/>
      </w:tblGrid>
      <w:tr w:rsidR="004F4D95" w:rsidTr="00E90E07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b/>
              </w:rPr>
            </w:pPr>
            <w:r>
              <w:t>C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Hazards Here</w:t>
            </w:r>
          </w:p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Groups of </w:t>
            </w:r>
          </w:p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at Risk</w:t>
            </w:r>
          </w:p>
        </w:tc>
        <w:tc>
          <w:tcPr>
            <w:tcW w:w="8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Existing Controls</w:t>
            </w:r>
          </w:p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Level</w:t>
            </w:r>
          </w:p>
        </w:tc>
      </w:tr>
      <w:tr w:rsidR="004F4D95" w:rsidTr="00E90E07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</w:t>
            </w:r>
            <w:r>
              <w:rPr>
                <w:rFonts w:ascii="Arial" w:hAnsi="Arial" w:cs="Arial"/>
                <w:sz w:val="16"/>
                <w:vertAlign w:val="superscript"/>
              </w:rPr>
              <w:t>o</w:t>
            </w: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8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</w:tr>
      <w:tr w:rsidR="00C12FB1" w:rsidTr="00E90E07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FB1" w:rsidRPr="00C12FB1" w:rsidRDefault="00C12FB1" w:rsidP="00C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Default="00C12F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Asthma: General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Default="00C12FB1" w:rsidP="00D51B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 with asthma</w:t>
            </w:r>
          </w:p>
        </w:tc>
        <w:tc>
          <w:tcPr>
            <w:tcW w:w="8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Default="00C12FB1" w:rsidP="00C12F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12FB1">
              <w:rPr>
                <w:rFonts w:ascii="Arial" w:hAnsi="Arial" w:cs="Arial"/>
              </w:rPr>
              <w:t>Asthma</w:t>
            </w:r>
            <w:r>
              <w:rPr>
                <w:rFonts w:ascii="Arial" w:hAnsi="Arial" w:cs="Arial"/>
              </w:rPr>
              <w:t xml:space="preserve"> action plan in place</w:t>
            </w:r>
          </w:p>
          <w:p w:rsidR="00C12FB1" w:rsidRDefault="00C12FB1" w:rsidP="00D51BE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Necessary medication and asthma card provided to school</w:t>
            </w:r>
            <w:r w:rsidR="0040535D">
              <w:rPr>
                <w:rFonts w:ascii="Arial" w:hAnsi="Arial" w:cs="Arial"/>
              </w:rPr>
              <w:t xml:space="preserve"> – inhaler available in classroom for children as needed</w:t>
            </w:r>
          </w:p>
          <w:p w:rsidR="00C12FB1" w:rsidRPr="00C12FB1" w:rsidRDefault="00C12FB1" w:rsidP="00C12F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Necessary staff notified of children with asthma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Pr="00D414FC" w:rsidRDefault="00D414FC">
            <w:pPr>
              <w:rPr>
                <w:rFonts w:ascii="Arial" w:hAnsi="Arial" w:cs="Arial"/>
              </w:rPr>
            </w:pPr>
            <w:r w:rsidRPr="00D414FC">
              <w:rPr>
                <w:rFonts w:ascii="Arial" w:hAnsi="Arial" w:cs="Arial"/>
              </w:rPr>
              <w:t>L</w:t>
            </w:r>
          </w:p>
        </w:tc>
      </w:tr>
      <w:tr w:rsidR="004F4D95" w:rsidTr="00E90E07">
        <w:trPr>
          <w:trHeight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C12FB1" w:rsidP="00C1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90E07">
              <w:rPr>
                <w:rFonts w:ascii="Arial" w:hAnsi="Arial" w:cs="Arial"/>
                <w:sz w:val="22"/>
                <w:szCs w:val="22"/>
              </w:rPr>
              <w:t xml:space="preserve">earing of </w:t>
            </w:r>
            <w:r>
              <w:rPr>
                <w:rFonts w:ascii="Arial" w:hAnsi="Arial" w:cs="Arial"/>
                <w:sz w:val="22"/>
                <w:szCs w:val="22"/>
              </w:rPr>
              <w:t>face coverings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4D95" w:rsidRDefault="00F6059B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Pupils with asthma</w:t>
            </w:r>
          </w:p>
        </w:tc>
        <w:tc>
          <w:tcPr>
            <w:tcW w:w="8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Pr="00C12FB1" w:rsidRDefault="00C12FB1" w:rsidP="00C12F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FB1">
              <w:rPr>
                <w:rFonts w:ascii="Arial" w:hAnsi="Arial" w:cs="Arial"/>
              </w:rPr>
              <w:t>Children in primary school do not need to wear a face covering</w:t>
            </w:r>
            <w:r>
              <w:rPr>
                <w:rFonts w:ascii="Arial" w:hAnsi="Arial" w:cs="Arial"/>
              </w:rPr>
              <w:t xml:space="preserve"> – this is especially pertinent for those children who do have asthma as i</w:t>
            </w:r>
            <w:r w:rsidRPr="00C12FB1">
              <w:rPr>
                <w:rFonts w:ascii="Arial" w:hAnsi="Arial" w:cs="Arial"/>
              </w:rPr>
              <w:t>t could make it feel harder to breathe. The government has advised that people with respiratory conditions do</w:t>
            </w:r>
            <w:r>
              <w:rPr>
                <w:rFonts w:ascii="Arial" w:hAnsi="Arial" w:cs="Arial"/>
              </w:rPr>
              <w:t xml:space="preserve"> </w:t>
            </w:r>
            <w:r w:rsidRPr="00C12FB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Pr="00C12FB1">
              <w:rPr>
                <w:rFonts w:ascii="Arial" w:hAnsi="Arial" w:cs="Arial"/>
              </w:rPr>
              <w:t>t need to wear face coverings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4C5" w:rsidRDefault="00AE04C5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4F4D95" w:rsidTr="00E90E0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4F4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Classrooms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4D95" w:rsidRDefault="00C12FB1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Pupils with asthma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C12FB1" w:rsidP="00C12F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FB1">
              <w:rPr>
                <w:rFonts w:ascii="Arial" w:hAnsi="Arial" w:cs="Arial"/>
              </w:rPr>
              <w:t>Since classroom windows will be open</w:t>
            </w:r>
            <w:r>
              <w:rPr>
                <w:rFonts w:ascii="Arial" w:hAnsi="Arial" w:cs="Arial"/>
              </w:rPr>
              <w:t>,</w:t>
            </w:r>
            <w:r w:rsidRPr="00C12FB1">
              <w:rPr>
                <w:rFonts w:ascii="Arial" w:hAnsi="Arial" w:cs="Arial"/>
              </w:rPr>
              <w:t xml:space="preserve"> </w:t>
            </w:r>
            <w:r w:rsidR="00D51BE1">
              <w:rPr>
                <w:rFonts w:ascii="Arial" w:hAnsi="Arial" w:cs="Arial"/>
              </w:rPr>
              <w:t>pupils</w:t>
            </w:r>
            <w:r w:rsidRPr="00C12FB1">
              <w:rPr>
                <w:rFonts w:ascii="Arial" w:hAnsi="Arial" w:cs="Arial"/>
              </w:rPr>
              <w:t xml:space="preserve"> with asthma should not be placed close to the window to </w:t>
            </w:r>
            <w:r>
              <w:rPr>
                <w:rFonts w:ascii="Arial" w:hAnsi="Arial" w:cs="Arial"/>
              </w:rPr>
              <w:t>maintain</w:t>
            </w:r>
            <w:r w:rsidRPr="00C12FB1">
              <w:rPr>
                <w:rFonts w:ascii="Arial" w:hAnsi="Arial" w:cs="Arial"/>
              </w:rPr>
              <w:t xml:space="preserve"> thermal comfort, and reduce exposure to </w:t>
            </w:r>
            <w:r>
              <w:rPr>
                <w:rFonts w:ascii="Arial" w:hAnsi="Arial" w:cs="Arial"/>
              </w:rPr>
              <w:t>outdoor seasonal aeroallergens</w:t>
            </w:r>
            <w:r w:rsidR="00D414FC">
              <w:rPr>
                <w:rFonts w:ascii="Arial" w:hAnsi="Arial" w:cs="Arial"/>
              </w:rPr>
              <w:t>.</w:t>
            </w:r>
          </w:p>
          <w:p w:rsidR="00D414FC" w:rsidRPr="00C12FB1" w:rsidRDefault="00D414FC" w:rsidP="00C12F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reminded to dress children appropriately to maintain thermal comfort.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59F" w:rsidRDefault="00812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259F" w:rsidRDefault="00812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259F" w:rsidRDefault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81259F" w:rsidRDefault="00812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4FC" w:rsidTr="00E90E07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535D" w:rsidRDefault="0040535D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Exposure to cold environments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14FC" w:rsidRDefault="00D414FC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Pupils with asthma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40535D" w:rsidP="00D414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PE lessons will take place o</w:t>
            </w:r>
            <w:r w:rsidR="00D414FC">
              <w:rPr>
                <w:rFonts w:ascii="Arial" w:hAnsi="Arial" w:cs="Arial"/>
              </w:rPr>
              <w:t>utdoor</w:t>
            </w:r>
            <w:r>
              <w:rPr>
                <w:rFonts w:ascii="Arial" w:hAnsi="Arial" w:cs="Arial"/>
              </w:rPr>
              <w:t>s. If the weather is particularly cold, pupils with asthma will be permitted to stay indoors.</w:t>
            </w:r>
          </w:p>
          <w:p w:rsidR="0040535D" w:rsidRPr="0040535D" w:rsidRDefault="0040535D" w:rsidP="004053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break and lunch times when playing outside, pupils should wear a suitable coat to maintain thermal comfort.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D414FC" w:rsidTr="00E90E07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cleaning</w:t>
            </w: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14FC" w:rsidRDefault="00D414FC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Pupils with asthma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4632C2" w:rsidP="004632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</w:t>
            </w:r>
            <w:r w:rsidR="00D414FC" w:rsidRPr="004632C2">
              <w:rPr>
                <w:rFonts w:ascii="Arial" w:hAnsi="Arial" w:cs="Arial"/>
              </w:rPr>
              <w:t>cleaning products have been associated with an increased risk of asthma</w:t>
            </w:r>
            <w:r>
              <w:rPr>
                <w:rFonts w:ascii="Arial" w:hAnsi="Arial" w:cs="Arial"/>
              </w:rPr>
              <w:t xml:space="preserve"> </w:t>
            </w:r>
            <w:r w:rsidR="00D414FC" w:rsidRPr="004632C2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wheeze across all age groups, </w:t>
            </w:r>
            <w:r w:rsidR="00D414FC" w:rsidRPr="004632C2"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</w:rPr>
              <w:t>eaning products used in school will have a COSHH risk assessment undertaken prior to use.</w:t>
            </w:r>
          </w:p>
          <w:p w:rsidR="004632C2" w:rsidRPr="004632C2" w:rsidRDefault="004632C2" w:rsidP="004632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 will be well ventilated during cleaning to prevent exposure.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Pr="00CE26BD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D414FC" w:rsidTr="00E90E07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virus; Pupils who become symptomatic during the school day</w:t>
            </w: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14FC" w:rsidRDefault="00D414FC" w:rsidP="00D51B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Pupils with asthma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BE1" w:rsidRDefault="00D414FC" w:rsidP="00D51B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414FC">
              <w:rPr>
                <w:rFonts w:ascii="Arial" w:hAnsi="Arial" w:cs="Arial"/>
              </w:rPr>
              <w:t>Asthma can be confused with COVID-19 respiratory symptoms</w:t>
            </w:r>
            <w:r>
              <w:rPr>
                <w:rFonts w:ascii="Arial" w:hAnsi="Arial" w:cs="Arial"/>
              </w:rPr>
              <w:t xml:space="preserve"> – as staff will be aware of children with asthma, they will be aware these children will be more likely to cough and wheeze. </w:t>
            </w:r>
          </w:p>
          <w:p w:rsidR="00D414FC" w:rsidRDefault="00D51BE1" w:rsidP="00D51B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first administer normal medication, but should symptoms worsen, the school’s normal procedure for symptomatic pupils will be undertaken.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4F4D95" w:rsidRDefault="004F4D95" w:rsidP="004F4D95">
      <w:pPr>
        <w:ind w:left="720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Risk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Level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b/>
          <w:sz w:val="16"/>
        </w:rPr>
        <w:t>High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Accident likely with possibility of serious injury or loss</w:t>
      </w:r>
    </w:p>
    <w:p w:rsidR="004F4D95" w:rsidRDefault="004F4D95" w:rsidP="004F4D95">
      <w:pPr>
        <w:ind w:left="7200" w:firstLine="72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    Medium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  <w:t>Possibility of accident occurring causing minor injury or loss</w:t>
      </w:r>
    </w:p>
    <w:p w:rsidR="004F4D95" w:rsidRDefault="004F4D95" w:rsidP="004F4D95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Low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Accident unlikely with control measures in place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tbl>
      <w:tblPr>
        <w:tblW w:w="153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6"/>
        <w:gridCol w:w="2694"/>
        <w:gridCol w:w="1702"/>
        <w:gridCol w:w="2127"/>
        <w:gridCol w:w="2270"/>
      </w:tblGrid>
      <w:tr w:rsidR="004F4D95" w:rsidTr="004F4D9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  <w:t>D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Controls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0080"/>
              </w:rPr>
              <w:t>E</w:t>
            </w:r>
            <w:r>
              <w:rPr>
                <w:rFonts w:ascii="Arial" w:hAnsi="Arial" w:cs="Arial"/>
                <w:b/>
              </w:rPr>
              <w:tab/>
              <w:t>To be completed by the Manager</w:t>
            </w:r>
          </w:p>
        </w:tc>
      </w:tr>
      <w:tr w:rsidR="004F4D95" w:rsidTr="004F4D95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vertAlign w:val="superscript"/>
              </w:rPr>
              <w:t>º</w:t>
            </w:r>
            <w:r>
              <w:rPr>
                <w:rFonts w:ascii="Arial" w:hAnsi="Arial" w:cs="Arial"/>
              </w:rPr>
              <w:t xml:space="preserve"> to correspond with Hazard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vertAlign w:val="superscript"/>
              </w:rPr>
              <w:t>º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7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4F4D95" w:rsidTr="004F4D95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6"/>
              </w:rPr>
            </w:pPr>
          </w:p>
          <w:p w:rsidR="004F4D95" w:rsidRDefault="004F4D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</w:t>
            </w:r>
            <w:r>
              <w:rPr>
                <w:rFonts w:ascii="Arial" w:hAnsi="Arial" w:cs="Arial"/>
                <w:sz w:val="16"/>
                <w:vertAlign w:val="superscript"/>
              </w:rPr>
              <w:t>o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>Additional Controls Required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>Action to be Taken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  <w:lang w:val="en"/>
              </w:rPr>
              <w:t>Target Completion Date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Task Completed </w:t>
            </w: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(Signed &amp; Dated)</w:t>
            </w: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</w:tbl>
    <w:p w:rsidR="004F4D95" w:rsidRDefault="004F4D95" w:rsidP="004F4D95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7654"/>
      </w:tblGrid>
      <w:tr w:rsidR="004F4D95" w:rsidTr="004F4D95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t>F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Once additional controls are implemented, what will the overall risk level be:</w:t>
            </w:r>
          </w:p>
          <w:p w:rsidR="004F4D95" w:rsidRDefault="004F4D95">
            <w:pPr>
              <w:rPr>
                <w:rFonts w:ascii="Arial" w:hAnsi="Arial" w:cs="Arial"/>
                <w:b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                     Medium                       Low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  <w:p w:rsidR="004F4D95" w:rsidRDefault="004F4D95">
            <w:pPr>
              <w:rPr>
                <w:i/>
              </w:rPr>
            </w:pPr>
          </w:p>
          <w:p w:rsidR="004F4D95" w:rsidRDefault="004F4D95">
            <w:pPr>
              <w:rPr>
                <w:i/>
              </w:rPr>
            </w:pPr>
            <w:r>
              <w:rPr>
                <w:i/>
              </w:rPr>
              <w:t>Please note an electronic signature will suffice.</w:t>
            </w:r>
          </w:p>
        </w:tc>
      </w:tr>
      <w:tr w:rsidR="004F4D95" w:rsidTr="004F4D95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D95" w:rsidRDefault="004F4D95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95" w:rsidRDefault="004F4D95">
            <w:pPr>
              <w:rPr>
                <w:i/>
              </w:rPr>
            </w:pPr>
          </w:p>
        </w:tc>
      </w:tr>
    </w:tbl>
    <w:p w:rsidR="00C44D96" w:rsidRDefault="00C44D96"/>
    <w:sectPr w:rsidR="00C44D96" w:rsidSect="004F4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817"/>
    <w:multiLevelType w:val="hybridMultilevel"/>
    <w:tmpl w:val="ABF2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11F"/>
    <w:multiLevelType w:val="hybridMultilevel"/>
    <w:tmpl w:val="4D1E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C54"/>
    <w:multiLevelType w:val="hybridMultilevel"/>
    <w:tmpl w:val="76B2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37A24"/>
    <w:multiLevelType w:val="hybridMultilevel"/>
    <w:tmpl w:val="1404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93E"/>
    <w:multiLevelType w:val="hybridMultilevel"/>
    <w:tmpl w:val="C88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AA9"/>
    <w:multiLevelType w:val="hybridMultilevel"/>
    <w:tmpl w:val="9B02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7A5"/>
    <w:multiLevelType w:val="hybridMultilevel"/>
    <w:tmpl w:val="B898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1BA"/>
    <w:multiLevelType w:val="hybridMultilevel"/>
    <w:tmpl w:val="9F62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35"/>
    <w:multiLevelType w:val="hybridMultilevel"/>
    <w:tmpl w:val="CB66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5D93"/>
    <w:multiLevelType w:val="hybridMultilevel"/>
    <w:tmpl w:val="457C3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FE70A3"/>
    <w:multiLevelType w:val="hybridMultilevel"/>
    <w:tmpl w:val="CE1A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D9C"/>
    <w:multiLevelType w:val="hybridMultilevel"/>
    <w:tmpl w:val="9FE6C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E1A7A"/>
    <w:multiLevelType w:val="hybridMultilevel"/>
    <w:tmpl w:val="333AC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6759E"/>
    <w:multiLevelType w:val="hybridMultilevel"/>
    <w:tmpl w:val="FD64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C22E4"/>
    <w:multiLevelType w:val="hybridMultilevel"/>
    <w:tmpl w:val="E10A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0766"/>
    <w:multiLevelType w:val="hybridMultilevel"/>
    <w:tmpl w:val="1C347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95"/>
    <w:rsid w:val="003108A8"/>
    <w:rsid w:val="00393511"/>
    <w:rsid w:val="0040535D"/>
    <w:rsid w:val="004632C2"/>
    <w:rsid w:val="004F4D95"/>
    <w:rsid w:val="00554A2A"/>
    <w:rsid w:val="00662FDC"/>
    <w:rsid w:val="0067250F"/>
    <w:rsid w:val="0081259F"/>
    <w:rsid w:val="009A054E"/>
    <w:rsid w:val="00A32E24"/>
    <w:rsid w:val="00AE04C5"/>
    <w:rsid w:val="00B846B1"/>
    <w:rsid w:val="00C12FB1"/>
    <w:rsid w:val="00C44D96"/>
    <w:rsid w:val="00CE26BD"/>
    <w:rsid w:val="00D414FC"/>
    <w:rsid w:val="00D51BE1"/>
    <w:rsid w:val="00E90E07"/>
    <w:rsid w:val="00F6059B"/>
    <w:rsid w:val="00FA3A97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7147-6931-4352-B709-2AA67FC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4F4D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4F4D95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4F4D9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uiPriority w:val="34"/>
    <w:locked/>
    <w:rsid w:val="004F4D95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uiPriority w:val="34"/>
    <w:qFormat/>
    <w:rsid w:val="004F4D95"/>
    <w:pPr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qFormat/>
    <w:rsid w:val="004F4D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Agate</dc:creator>
  <cp:keywords/>
  <dc:description/>
  <cp:lastModifiedBy>LWhite</cp:lastModifiedBy>
  <cp:revision>2</cp:revision>
  <dcterms:created xsi:type="dcterms:W3CDTF">2020-09-04T10:08:00Z</dcterms:created>
  <dcterms:modified xsi:type="dcterms:W3CDTF">2020-09-04T10:08:00Z</dcterms:modified>
</cp:coreProperties>
</file>